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A73" w:rsidRDefault="00092283" w:rsidP="007C1A73">
      <w:pPr>
        <w:snapToGrid w:val="0"/>
        <w:spacing w:line="360" w:lineRule="auto"/>
        <w:jc w:val="center"/>
        <w:rPr>
          <w:rFonts w:eastAsia="標楷體" w:hint="eastAsia"/>
          <w:b/>
          <w:sz w:val="32"/>
          <w:szCs w:val="32"/>
        </w:rPr>
      </w:pPr>
      <w:r w:rsidRPr="00053847">
        <w:rPr>
          <w:rFonts w:eastAsia="標楷體" w:hint="eastAsia"/>
          <w:b/>
          <w:sz w:val="32"/>
          <w:szCs w:val="32"/>
        </w:rPr>
        <w:t>嘉義縣</w:t>
      </w:r>
      <w:r w:rsidRPr="00053847">
        <w:rPr>
          <w:rFonts w:eastAsia="標楷體"/>
          <w:b/>
          <w:sz w:val="32"/>
          <w:szCs w:val="32"/>
        </w:rPr>
        <w:t>103</w:t>
      </w:r>
      <w:r w:rsidRPr="00053847">
        <w:rPr>
          <w:rFonts w:eastAsia="標楷體" w:hint="eastAsia"/>
          <w:b/>
          <w:sz w:val="32"/>
          <w:szCs w:val="32"/>
        </w:rPr>
        <w:t>年度國民教育輔導團社會領域（國中組）</w:t>
      </w:r>
    </w:p>
    <w:p w:rsidR="007C1A73" w:rsidRDefault="00092283" w:rsidP="007C1A73">
      <w:pPr>
        <w:snapToGrid w:val="0"/>
        <w:spacing w:line="360" w:lineRule="auto"/>
        <w:jc w:val="center"/>
        <w:rPr>
          <w:rFonts w:ascii="標楷體" w:eastAsia="標楷體" w:hAnsi="標楷體" w:hint="eastAsia"/>
          <w:b/>
          <w:sz w:val="32"/>
          <w:szCs w:val="32"/>
        </w:rPr>
      </w:pPr>
      <w:r>
        <w:rPr>
          <w:rFonts w:ascii="標楷體" w:eastAsia="標楷體" w:hAnsi="標楷體" w:hint="eastAsia"/>
          <w:b/>
          <w:sz w:val="32"/>
          <w:szCs w:val="32"/>
        </w:rPr>
        <w:t>【人文景點融入社會領域教案及課程研發】</w:t>
      </w:r>
    </w:p>
    <w:p w:rsidR="00092283" w:rsidRPr="00053847" w:rsidRDefault="007C1A73" w:rsidP="007C1A73">
      <w:pPr>
        <w:snapToGrid w:val="0"/>
        <w:spacing w:line="360" w:lineRule="auto"/>
        <w:jc w:val="center"/>
        <w:rPr>
          <w:rFonts w:eastAsia="標楷體"/>
          <w:b/>
          <w:sz w:val="32"/>
          <w:szCs w:val="32"/>
        </w:rPr>
      </w:pPr>
      <w:r>
        <w:rPr>
          <w:rFonts w:ascii="標楷體" w:eastAsia="標楷體" w:hAnsi="標楷體" w:hint="eastAsia"/>
          <w:b/>
          <w:sz w:val="32"/>
          <w:szCs w:val="32"/>
        </w:rPr>
        <w:t>第一梯次</w:t>
      </w:r>
      <w:r w:rsidR="00092283" w:rsidRPr="00053847">
        <w:rPr>
          <w:rFonts w:eastAsia="標楷體" w:hAnsi="標楷體" w:hint="eastAsia"/>
          <w:b/>
          <w:sz w:val="32"/>
          <w:szCs w:val="32"/>
        </w:rPr>
        <w:t>工作坊實施計畫</w:t>
      </w:r>
    </w:p>
    <w:p w:rsidR="00092283" w:rsidRPr="00053847" w:rsidRDefault="00092283" w:rsidP="00092283">
      <w:pPr>
        <w:snapToGrid w:val="0"/>
        <w:spacing w:line="360" w:lineRule="auto"/>
        <w:rPr>
          <w:rFonts w:ascii="標楷體" w:eastAsia="標楷體" w:hAnsi="標楷體"/>
        </w:rPr>
      </w:pPr>
      <w:r w:rsidRPr="00053847">
        <w:rPr>
          <w:rFonts w:ascii="標楷體" w:eastAsia="標楷體" w:hAnsi="標楷體" w:hint="eastAsia"/>
        </w:rPr>
        <w:t>一、依據：</w:t>
      </w:r>
      <w:r w:rsidRPr="00053847">
        <w:rPr>
          <w:rFonts w:ascii="標楷體" w:eastAsia="標楷體" w:hAnsi="標楷體"/>
        </w:rPr>
        <w:t xml:space="preserve"> </w:t>
      </w:r>
    </w:p>
    <w:p w:rsidR="00092283" w:rsidRPr="00053847" w:rsidRDefault="00092283" w:rsidP="00092283">
      <w:pPr>
        <w:snapToGrid w:val="0"/>
        <w:spacing w:line="360" w:lineRule="auto"/>
        <w:rPr>
          <w:rFonts w:ascii="標楷體" w:eastAsia="標楷體" w:hAnsi="標楷體"/>
        </w:rPr>
      </w:pPr>
      <w:r w:rsidRPr="00053847">
        <w:rPr>
          <w:rFonts w:ascii="標楷體" w:eastAsia="標楷體" w:hAnsi="標楷體" w:hint="eastAsia"/>
        </w:rPr>
        <w:t>（一）國民教育法。</w:t>
      </w:r>
    </w:p>
    <w:p w:rsidR="00092283" w:rsidRPr="00053847" w:rsidRDefault="00092283" w:rsidP="00092283">
      <w:pPr>
        <w:snapToGrid w:val="0"/>
        <w:spacing w:line="360" w:lineRule="auto"/>
        <w:rPr>
          <w:rFonts w:ascii="標楷體" w:eastAsia="標楷體" w:hAnsi="標楷體"/>
        </w:rPr>
      </w:pPr>
      <w:r w:rsidRPr="00053847">
        <w:rPr>
          <w:rFonts w:ascii="標楷體" w:eastAsia="標楷體" w:hAnsi="標楷體" w:hint="eastAsia"/>
        </w:rPr>
        <w:t>（二）九年一貫課程綱要。</w:t>
      </w:r>
    </w:p>
    <w:p w:rsidR="00092283" w:rsidRPr="00053847" w:rsidRDefault="00092283" w:rsidP="00092283">
      <w:pPr>
        <w:snapToGrid w:val="0"/>
        <w:spacing w:line="360" w:lineRule="auto"/>
        <w:ind w:left="708" w:hangingChars="295" w:hanging="708"/>
        <w:rPr>
          <w:rFonts w:ascii="標楷體" w:eastAsia="標楷體" w:hAnsi="標楷體"/>
        </w:rPr>
      </w:pPr>
      <w:r w:rsidRPr="00053847">
        <w:rPr>
          <w:rFonts w:ascii="標楷體" w:eastAsia="標楷體" w:hAnsi="標楷體" w:hint="eastAsia"/>
        </w:rPr>
        <w:t>（三）</w:t>
      </w:r>
      <w:r w:rsidRPr="009A310C">
        <w:rPr>
          <w:rFonts w:ascii="標楷體" w:eastAsia="標楷體" w:hAnsi="標楷體"/>
        </w:rPr>
        <w:t>103</w:t>
      </w:r>
      <w:r w:rsidRPr="009A310C">
        <w:rPr>
          <w:rFonts w:ascii="標楷體" w:eastAsia="標楷體" w:hAnsi="標楷體" w:hint="eastAsia"/>
        </w:rPr>
        <w:t>年度教育部國民及學前教育署補助辦理十二年國民基本教育精進國民中小學教學品質計畫</w:t>
      </w:r>
      <w:r w:rsidRPr="00053847">
        <w:rPr>
          <w:rFonts w:ascii="標楷體" w:eastAsia="標楷體" w:hAnsi="標楷體" w:hint="eastAsia"/>
        </w:rPr>
        <w:t>。</w:t>
      </w:r>
    </w:p>
    <w:p w:rsidR="00092283" w:rsidRPr="00053847" w:rsidRDefault="00092283" w:rsidP="00092283">
      <w:pPr>
        <w:snapToGrid w:val="0"/>
        <w:spacing w:line="360" w:lineRule="auto"/>
        <w:rPr>
          <w:rFonts w:ascii="標楷體" w:eastAsia="標楷體" w:hAnsi="標楷體"/>
        </w:rPr>
      </w:pPr>
      <w:r w:rsidRPr="00053847">
        <w:rPr>
          <w:rFonts w:ascii="標楷體" w:eastAsia="標楷體" w:hAnsi="標楷體" w:hint="eastAsia"/>
        </w:rPr>
        <w:t>（四）嘉義縣</w:t>
      </w:r>
      <w:r w:rsidRPr="00053847">
        <w:rPr>
          <w:rFonts w:ascii="標楷體" w:eastAsia="標楷體" w:hAnsi="標楷體"/>
        </w:rPr>
        <w:t>102</w:t>
      </w:r>
      <w:r w:rsidRPr="00053847">
        <w:rPr>
          <w:rFonts w:ascii="標楷體" w:eastAsia="標楷體" w:hAnsi="標楷體" w:hint="eastAsia"/>
        </w:rPr>
        <w:t>學年度國民教育輔導團工作計畫。</w:t>
      </w:r>
    </w:p>
    <w:p w:rsidR="00092283" w:rsidRPr="00053847" w:rsidRDefault="00092283" w:rsidP="00092283">
      <w:pPr>
        <w:snapToGrid w:val="0"/>
        <w:spacing w:line="360" w:lineRule="auto"/>
        <w:rPr>
          <w:rFonts w:ascii="標楷體" w:eastAsia="標楷體" w:hAnsi="標楷體"/>
        </w:rPr>
      </w:pPr>
      <w:r w:rsidRPr="00053847">
        <w:rPr>
          <w:rFonts w:ascii="標楷體" w:eastAsia="標楷體" w:hAnsi="標楷體" w:hint="eastAsia"/>
        </w:rPr>
        <w:t>二、目標：</w:t>
      </w:r>
    </w:p>
    <w:p w:rsidR="00092283" w:rsidRPr="00053847" w:rsidRDefault="00092283" w:rsidP="00092283">
      <w:pPr>
        <w:snapToGrid w:val="0"/>
        <w:spacing w:line="360" w:lineRule="auto"/>
        <w:rPr>
          <w:rFonts w:ascii="標楷體" w:eastAsia="標楷體" w:hAnsi="標楷體"/>
        </w:rPr>
      </w:pPr>
      <w:r w:rsidRPr="00053847">
        <w:rPr>
          <w:rFonts w:ascii="標楷體" w:eastAsia="標楷體" w:hAnsi="標楷體" w:hint="eastAsia"/>
        </w:rPr>
        <w:t>（一）藉由</w:t>
      </w:r>
      <w:r>
        <w:rPr>
          <w:rFonts w:ascii="標楷體" w:eastAsia="標楷體" w:hAnsi="標楷體" w:hint="eastAsia"/>
        </w:rPr>
        <w:t>工作坊</w:t>
      </w:r>
      <w:r w:rsidRPr="00053847">
        <w:rPr>
          <w:rFonts w:ascii="標楷體" w:eastAsia="標楷體" w:hAnsi="標楷體" w:hint="eastAsia"/>
        </w:rPr>
        <w:t>的推動，</w:t>
      </w:r>
      <w:r>
        <w:rPr>
          <w:rFonts w:ascii="標楷體" w:eastAsia="標楷體" w:hAnsi="標楷體" w:hint="eastAsia"/>
        </w:rPr>
        <w:t>研發並推廣人文景點之課程，提升輔導員專業知能，精進教學能力</w:t>
      </w:r>
      <w:r w:rsidRPr="00053847">
        <w:rPr>
          <w:rFonts w:ascii="標楷體" w:eastAsia="標楷體" w:hAnsi="標楷體" w:hint="eastAsia"/>
        </w:rPr>
        <w:t>。</w:t>
      </w:r>
    </w:p>
    <w:p w:rsidR="00092283" w:rsidRPr="00053847" w:rsidRDefault="00092283" w:rsidP="00092283">
      <w:pPr>
        <w:snapToGrid w:val="0"/>
        <w:spacing w:line="360" w:lineRule="auto"/>
        <w:rPr>
          <w:rFonts w:ascii="標楷體" w:eastAsia="標楷體" w:hAnsi="標楷體"/>
        </w:rPr>
      </w:pPr>
      <w:r w:rsidRPr="00053847">
        <w:rPr>
          <w:rFonts w:ascii="標楷體" w:eastAsia="標楷體" w:hAnsi="標楷體" w:hint="eastAsia"/>
        </w:rPr>
        <w:t>（二）</w:t>
      </w:r>
      <w:r>
        <w:rPr>
          <w:rFonts w:ascii="標楷體" w:eastAsia="標楷體" w:hAnsi="標楷體" w:hint="eastAsia"/>
        </w:rPr>
        <w:t>人文景點擴充歷史，地理，公民三科的課程內容深度</w:t>
      </w:r>
      <w:r w:rsidRPr="00053847">
        <w:rPr>
          <w:rFonts w:ascii="標楷體" w:eastAsia="標楷體" w:hAnsi="標楷體" w:hint="eastAsia"/>
        </w:rPr>
        <w:t>。</w:t>
      </w:r>
    </w:p>
    <w:p w:rsidR="00092283" w:rsidRPr="00053847" w:rsidRDefault="00092283" w:rsidP="00092283">
      <w:pPr>
        <w:snapToGrid w:val="0"/>
        <w:spacing w:line="360" w:lineRule="auto"/>
        <w:rPr>
          <w:rFonts w:ascii="標楷體" w:eastAsia="標楷體" w:hAnsi="標楷體"/>
        </w:rPr>
      </w:pPr>
      <w:r w:rsidRPr="00053847">
        <w:rPr>
          <w:rFonts w:ascii="標楷體" w:eastAsia="標楷體" w:hAnsi="標楷體" w:hint="eastAsia"/>
        </w:rPr>
        <w:t>（三）加強</w:t>
      </w:r>
      <w:r>
        <w:rPr>
          <w:rFonts w:ascii="標楷體" w:eastAsia="標楷體" w:hAnsi="標楷體" w:hint="eastAsia"/>
        </w:rPr>
        <w:t>輔導員對領域內涵的認知與技能，帶動專業對話與學習社群的氛圍，提升領域團務之成長</w:t>
      </w:r>
      <w:r w:rsidRPr="00053847">
        <w:rPr>
          <w:rFonts w:ascii="標楷體" w:eastAsia="標楷體" w:hAnsi="標楷體" w:hint="eastAsia"/>
        </w:rPr>
        <w:t>。</w:t>
      </w:r>
    </w:p>
    <w:p w:rsidR="00092283" w:rsidRPr="00053847" w:rsidRDefault="00092283" w:rsidP="00092283">
      <w:pPr>
        <w:snapToGrid w:val="0"/>
        <w:spacing w:line="360" w:lineRule="auto"/>
        <w:rPr>
          <w:rFonts w:ascii="標楷體" w:eastAsia="標楷體" w:hAnsi="標楷體"/>
        </w:rPr>
      </w:pPr>
      <w:r w:rsidRPr="00053847">
        <w:rPr>
          <w:rFonts w:ascii="標楷體" w:eastAsia="標楷體" w:hAnsi="標楷體" w:hint="eastAsia"/>
        </w:rPr>
        <w:t>（四）</w:t>
      </w:r>
      <w:r>
        <w:rPr>
          <w:rFonts w:ascii="標楷體" w:eastAsia="標楷體" w:hAnsi="標楷體" w:hint="eastAsia"/>
        </w:rPr>
        <w:t>激發團員將所學運用於教學現場，檢視教學的成效，將工作坊成果出版專輯以擴大成效</w:t>
      </w:r>
      <w:r w:rsidRPr="00053847">
        <w:rPr>
          <w:rFonts w:ascii="標楷體" w:eastAsia="標楷體" w:hAnsi="標楷體" w:hint="eastAsia"/>
        </w:rPr>
        <w:t>。</w:t>
      </w:r>
    </w:p>
    <w:p w:rsidR="00092283" w:rsidRPr="00053847" w:rsidRDefault="00092283" w:rsidP="00092283">
      <w:pPr>
        <w:snapToGrid w:val="0"/>
        <w:spacing w:line="360" w:lineRule="auto"/>
        <w:rPr>
          <w:rFonts w:ascii="標楷體" w:eastAsia="標楷體" w:hAnsi="標楷體"/>
        </w:rPr>
      </w:pPr>
      <w:r w:rsidRPr="00053847">
        <w:rPr>
          <w:rFonts w:ascii="標楷體" w:eastAsia="標楷體" w:hAnsi="標楷體" w:hint="eastAsia"/>
        </w:rPr>
        <w:t>三、指導單位：教育部</w:t>
      </w:r>
    </w:p>
    <w:p w:rsidR="00092283" w:rsidRPr="00053847" w:rsidRDefault="00092283" w:rsidP="00092283">
      <w:pPr>
        <w:snapToGrid w:val="0"/>
        <w:spacing w:line="360" w:lineRule="auto"/>
        <w:rPr>
          <w:rFonts w:ascii="標楷體" w:eastAsia="標楷體" w:hAnsi="標楷體"/>
        </w:rPr>
      </w:pPr>
      <w:r w:rsidRPr="00053847">
        <w:rPr>
          <w:rFonts w:ascii="標楷體" w:eastAsia="標楷體" w:hAnsi="標楷體" w:hint="eastAsia"/>
        </w:rPr>
        <w:t>四、主辦單位：嘉義縣政府</w:t>
      </w:r>
    </w:p>
    <w:p w:rsidR="00092283" w:rsidRPr="00053847" w:rsidRDefault="00092283" w:rsidP="00092283">
      <w:pPr>
        <w:snapToGrid w:val="0"/>
        <w:spacing w:line="360" w:lineRule="auto"/>
        <w:rPr>
          <w:rFonts w:ascii="標楷體" w:eastAsia="標楷體" w:hAnsi="標楷體"/>
        </w:rPr>
      </w:pPr>
      <w:r w:rsidRPr="00053847">
        <w:rPr>
          <w:rFonts w:ascii="標楷體" w:eastAsia="標楷體" w:hAnsi="標楷體" w:hint="eastAsia"/>
        </w:rPr>
        <w:t>五、承辦單位：嘉義縣國教輔導團國中組社會領域、嘉義縣立昇平國民中</w:t>
      </w:r>
    </w:p>
    <w:p w:rsidR="00092283" w:rsidRPr="00053847" w:rsidRDefault="00092283" w:rsidP="00092283">
      <w:pPr>
        <w:snapToGrid w:val="0"/>
        <w:spacing w:line="360" w:lineRule="auto"/>
        <w:rPr>
          <w:rFonts w:ascii="標楷體" w:eastAsia="標楷體" w:hAnsi="標楷體"/>
        </w:rPr>
      </w:pPr>
      <w:r w:rsidRPr="00053847">
        <w:rPr>
          <w:rFonts w:ascii="標楷體" w:eastAsia="標楷體" w:hAnsi="標楷體" w:hint="eastAsia"/>
        </w:rPr>
        <w:t>六、協辦單位：嘉義縣立東石國民中學、嘉義縣立鹿草國民中學、嘉義縣立義竹國民中學、</w:t>
      </w:r>
      <w:r w:rsidR="007F32CC">
        <w:rPr>
          <w:rFonts w:ascii="標楷體" w:eastAsia="標楷體" w:hAnsi="標楷體" w:hint="eastAsia"/>
        </w:rPr>
        <w:t>嘉</w:t>
      </w:r>
      <w:r w:rsidRPr="00053847">
        <w:rPr>
          <w:rFonts w:ascii="標楷體" w:eastAsia="標楷體" w:hAnsi="標楷體" w:hint="eastAsia"/>
        </w:rPr>
        <w:t>義縣立大吉國民中學</w:t>
      </w:r>
    </w:p>
    <w:p w:rsidR="00092283" w:rsidRPr="00053847" w:rsidRDefault="00092283" w:rsidP="00092283">
      <w:pPr>
        <w:snapToGrid w:val="0"/>
        <w:spacing w:line="360" w:lineRule="auto"/>
        <w:rPr>
          <w:rFonts w:ascii="標楷體" w:eastAsia="標楷體" w:hAnsi="標楷體"/>
        </w:rPr>
      </w:pPr>
      <w:r w:rsidRPr="00053847">
        <w:rPr>
          <w:rFonts w:ascii="標楷體" w:eastAsia="標楷體" w:hAnsi="標楷體" w:hint="eastAsia"/>
        </w:rPr>
        <w:t>七、辦理時間：</w:t>
      </w:r>
      <w:r w:rsidR="007C1A73">
        <w:rPr>
          <w:rFonts w:ascii="標楷體" w:eastAsia="標楷體" w:hAnsi="標楷體" w:hint="eastAsia"/>
        </w:rPr>
        <w:t>第一梯次04/01（週二）半天共同領域時間</w:t>
      </w:r>
    </w:p>
    <w:p w:rsidR="00092283" w:rsidRPr="00053847" w:rsidRDefault="00092283" w:rsidP="00092283">
      <w:pPr>
        <w:snapToGrid w:val="0"/>
        <w:spacing w:line="360" w:lineRule="auto"/>
        <w:rPr>
          <w:rFonts w:ascii="標楷體" w:eastAsia="標楷體" w:hAnsi="標楷體"/>
        </w:rPr>
      </w:pPr>
      <w:r w:rsidRPr="00053847">
        <w:rPr>
          <w:rFonts w:ascii="標楷體" w:eastAsia="標楷體" w:hAnsi="標楷體" w:hint="eastAsia"/>
        </w:rPr>
        <w:t>八、活動地點：</w:t>
      </w:r>
      <w:r w:rsidR="007C1A73" w:rsidRPr="00053847">
        <w:rPr>
          <w:rFonts w:ascii="標楷體" w:eastAsia="標楷體" w:hAnsi="標楷體"/>
        </w:rPr>
        <w:t xml:space="preserve"> </w:t>
      </w:r>
      <w:r w:rsidR="007C1A73" w:rsidRPr="00963C95">
        <w:rPr>
          <w:rFonts w:ascii="標楷體" w:eastAsia="標楷體" w:hAnsi="標楷體" w:hint="eastAsia"/>
          <w:b/>
        </w:rPr>
        <w:t>安平舊聚落</w:t>
      </w:r>
    </w:p>
    <w:p w:rsidR="00092283" w:rsidRPr="00053847" w:rsidRDefault="00092283" w:rsidP="00092283">
      <w:pPr>
        <w:snapToGrid w:val="0"/>
        <w:spacing w:line="360" w:lineRule="auto"/>
        <w:rPr>
          <w:rFonts w:ascii="標楷體" w:eastAsia="標楷體" w:hAnsi="標楷體"/>
        </w:rPr>
      </w:pPr>
      <w:r w:rsidRPr="00053847">
        <w:rPr>
          <w:rFonts w:ascii="標楷體" w:eastAsia="標楷體" w:hAnsi="標楷體" w:hint="eastAsia"/>
        </w:rPr>
        <w:t>九、參加對象</w:t>
      </w:r>
      <w:r w:rsidRPr="00053847">
        <w:rPr>
          <w:rFonts w:ascii="標楷體" w:eastAsia="標楷體" w:hAnsi="標楷體"/>
        </w:rPr>
        <w:t>:</w:t>
      </w:r>
      <w:r w:rsidR="00274A77">
        <w:rPr>
          <w:rFonts w:ascii="標楷體" w:eastAsia="標楷體" w:hAnsi="標楷體" w:hint="eastAsia"/>
        </w:rPr>
        <w:t>嘉義縣國中社會領域輔導團員</w:t>
      </w:r>
      <w:r w:rsidR="007C1A73">
        <w:rPr>
          <w:rFonts w:ascii="標楷體" w:eastAsia="標楷體" w:hAnsi="標楷體" w:hint="eastAsia"/>
        </w:rPr>
        <w:t>以及有興趣教師</w:t>
      </w:r>
      <w:r w:rsidRPr="00053847">
        <w:rPr>
          <w:rFonts w:ascii="標楷體" w:eastAsia="標楷體" w:hAnsi="標楷體" w:hint="eastAsia"/>
        </w:rPr>
        <w:t>。</w:t>
      </w:r>
      <w:r w:rsidRPr="00053847">
        <w:rPr>
          <w:rFonts w:ascii="標楷體" w:eastAsia="標楷體" w:hAnsi="標楷體"/>
        </w:rPr>
        <w:t xml:space="preserve">             </w:t>
      </w:r>
    </w:p>
    <w:p w:rsidR="00092283" w:rsidRPr="00963C95" w:rsidRDefault="00092283" w:rsidP="00092283">
      <w:pPr>
        <w:snapToGrid w:val="0"/>
        <w:spacing w:line="360" w:lineRule="auto"/>
        <w:rPr>
          <w:rFonts w:ascii="標楷體" w:eastAsia="標楷體" w:hAnsi="標楷體" w:hint="eastAsia"/>
          <w:b/>
        </w:rPr>
      </w:pPr>
      <w:r w:rsidRPr="00053847">
        <w:rPr>
          <w:rFonts w:ascii="標楷體" w:eastAsia="標楷體" w:hAnsi="標楷體" w:hint="eastAsia"/>
        </w:rPr>
        <w:t>十、報名方式：</w:t>
      </w:r>
      <w:r w:rsidR="007C1A73" w:rsidRPr="00963C95">
        <w:rPr>
          <w:rFonts w:ascii="標楷體" w:eastAsia="標楷體" w:hAnsi="標楷體" w:hint="eastAsia"/>
          <w:b/>
        </w:rPr>
        <w:t>請與該團之任一社會領域輔導團員聯絡。</w:t>
      </w:r>
    </w:p>
    <w:p w:rsidR="007C1A73" w:rsidRDefault="007C1A73" w:rsidP="00092283">
      <w:pPr>
        <w:snapToGrid w:val="0"/>
        <w:spacing w:line="360" w:lineRule="auto"/>
        <w:rPr>
          <w:rStyle w:val="normaltext"/>
          <w:rFonts w:hint="eastAsia"/>
          <w:b/>
          <w:bCs/>
        </w:rPr>
      </w:pPr>
      <w:r>
        <w:rPr>
          <w:rFonts w:ascii="標楷體" w:eastAsia="標楷體" w:hAnsi="標楷體" w:hint="eastAsia"/>
        </w:rPr>
        <w:t>信箱:</w:t>
      </w:r>
      <w:r w:rsidRPr="007C1A73">
        <w:rPr>
          <w:b/>
          <w:bCs/>
          <w:color w:val="484840"/>
          <w:sz w:val="23"/>
          <w:szCs w:val="23"/>
        </w:rPr>
        <w:t xml:space="preserve"> </w:t>
      </w:r>
      <w:r w:rsidRPr="007C1A73">
        <w:rPr>
          <w:b/>
          <w:bCs/>
        </w:rPr>
        <w:t> </w:t>
      </w:r>
      <w:hyperlink r:id="rId6" w:history="1">
        <w:r w:rsidRPr="002113D4">
          <w:rPr>
            <w:rStyle w:val="a3"/>
            <w:b/>
            <w:bCs/>
          </w:rPr>
          <w:t>social1@mail.cyc.edu.tw</w:t>
        </w:r>
      </w:hyperlink>
    </w:p>
    <w:p w:rsidR="007C1A73" w:rsidRDefault="007C1A73" w:rsidP="00092283">
      <w:pPr>
        <w:snapToGrid w:val="0"/>
        <w:spacing w:line="360" w:lineRule="auto"/>
        <w:rPr>
          <w:rFonts w:ascii="標楷體" w:eastAsia="標楷體" w:hAnsi="標楷體" w:hint="eastAsia"/>
        </w:rPr>
      </w:pPr>
      <w:r>
        <w:rPr>
          <w:rStyle w:val="normaltext"/>
          <w:rFonts w:hint="eastAsia"/>
          <w:b/>
          <w:bCs/>
        </w:rPr>
        <w:t>連絡電話</w:t>
      </w:r>
      <w:r>
        <w:rPr>
          <w:rStyle w:val="normaltext"/>
          <w:rFonts w:hint="eastAsia"/>
          <w:b/>
          <w:bCs/>
        </w:rPr>
        <w:t>:05-3752037-24</w:t>
      </w:r>
      <w:r>
        <w:rPr>
          <w:rStyle w:val="normaltext"/>
          <w:rFonts w:hint="eastAsia"/>
          <w:b/>
          <w:bCs/>
        </w:rPr>
        <w:t>，</w:t>
      </w:r>
      <w:r>
        <w:rPr>
          <w:rStyle w:val="normaltext"/>
          <w:rFonts w:hint="eastAsia"/>
          <w:b/>
          <w:bCs/>
        </w:rPr>
        <w:t>0956620319</w:t>
      </w:r>
    </w:p>
    <w:p w:rsidR="007C1A73" w:rsidRPr="00053847" w:rsidRDefault="007C1A73" w:rsidP="00092283">
      <w:pPr>
        <w:snapToGrid w:val="0"/>
        <w:spacing w:line="360" w:lineRule="auto"/>
        <w:rPr>
          <w:rFonts w:ascii="標楷體" w:eastAsia="標楷體" w:hAnsi="標楷體"/>
        </w:rPr>
      </w:pPr>
    </w:p>
    <w:p w:rsidR="00092283" w:rsidRPr="00053847" w:rsidRDefault="00092283" w:rsidP="00092283">
      <w:pPr>
        <w:snapToGrid w:val="0"/>
        <w:spacing w:line="360" w:lineRule="auto"/>
        <w:rPr>
          <w:rFonts w:ascii="標楷體" w:eastAsia="標楷體" w:hAnsi="標楷體"/>
        </w:rPr>
      </w:pPr>
      <w:r w:rsidRPr="00053847">
        <w:rPr>
          <w:rFonts w:ascii="標楷體" w:eastAsia="標楷體" w:hAnsi="標楷體" w:hint="eastAsia"/>
        </w:rPr>
        <w:lastRenderedPageBreak/>
        <w:t>十一、</w:t>
      </w:r>
      <w:r w:rsidRPr="00743084">
        <w:rPr>
          <w:rFonts w:ascii="標楷體" w:eastAsia="標楷體" w:hAnsi="標楷體" w:hint="eastAsia"/>
        </w:rPr>
        <w:t>工作坊實施內容</w:t>
      </w:r>
      <w:r w:rsidRPr="00743084">
        <w:rPr>
          <w:rFonts w:ascii="標楷體" w:eastAsia="標楷體" w:hAnsi="標楷體"/>
        </w:rPr>
        <w:t>:</w:t>
      </w:r>
      <w:r w:rsidRPr="00053847">
        <w:rPr>
          <w:rFonts w:ascii="標楷體" w:eastAsia="標楷體" w:hAnsi="標楷體"/>
        </w:rPr>
        <w:t xml:space="preserve"> </w:t>
      </w:r>
    </w:p>
    <w:p w:rsidR="00092283" w:rsidRPr="00053847" w:rsidRDefault="00092283" w:rsidP="00092283">
      <w:pPr>
        <w:spacing w:line="240" w:lineRule="atLeast"/>
        <w:rPr>
          <w:rFonts w:ascii="標楷體" w:eastAsia="標楷體" w:hAnsi="標楷體"/>
          <w:b/>
          <w:sz w:val="26"/>
          <w:szCs w:val="26"/>
        </w:rPr>
      </w:pPr>
    </w:p>
    <w:tbl>
      <w:tblPr>
        <w:tblW w:w="5000" w:type="pct"/>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6"/>
        <w:gridCol w:w="1497"/>
        <w:gridCol w:w="1754"/>
        <w:gridCol w:w="2151"/>
        <w:gridCol w:w="1701"/>
        <w:gridCol w:w="963"/>
      </w:tblGrid>
      <w:tr w:rsidR="00092283" w:rsidRPr="005657DF" w:rsidTr="00963C95">
        <w:trPr>
          <w:jc w:val="center"/>
        </w:trPr>
        <w:tc>
          <w:tcPr>
            <w:tcW w:w="177" w:type="pct"/>
            <w:tcBorders>
              <w:top w:val="single" w:sz="12" w:space="0" w:color="auto"/>
              <w:left w:val="single" w:sz="12" w:space="0" w:color="auto"/>
              <w:bottom w:val="single" w:sz="6" w:space="0" w:color="auto"/>
              <w:right w:val="single" w:sz="6" w:space="0" w:color="auto"/>
            </w:tcBorders>
            <w:vAlign w:val="center"/>
          </w:tcPr>
          <w:p w:rsidR="00092283" w:rsidRPr="005657DF" w:rsidRDefault="00092283" w:rsidP="00316406">
            <w:pPr>
              <w:snapToGrid w:val="0"/>
              <w:spacing w:line="240" w:lineRule="atLeast"/>
              <w:jc w:val="center"/>
              <w:rPr>
                <w:rFonts w:ascii="標楷體" w:eastAsia="標楷體" w:hAnsi="標楷體"/>
                <w:bCs/>
              </w:rPr>
            </w:pPr>
            <w:r w:rsidRPr="005657DF">
              <w:rPr>
                <w:rFonts w:ascii="標楷體" w:eastAsia="標楷體" w:hAnsi="標楷體" w:hint="eastAsia"/>
                <w:bCs/>
              </w:rPr>
              <w:t>項次</w:t>
            </w:r>
          </w:p>
        </w:tc>
        <w:tc>
          <w:tcPr>
            <w:tcW w:w="895" w:type="pct"/>
            <w:tcBorders>
              <w:top w:val="single" w:sz="12" w:space="0" w:color="auto"/>
              <w:left w:val="single" w:sz="6" w:space="0" w:color="auto"/>
              <w:bottom w:val="single" w:sz="6" w:space="0" w:color="auto"/>
              <w:right w:val="single" w:sz="6" w:space="0" w:color="auto"/>
            </w:tcBorders>
            <w:vAlign w:val="center"/>
          </w:tcPr>
          <w:p w:rsidR="00092283" w:rsidRPr="005657DF" w:rsidRDefault="00092283" w:rsidP="00316406">
            <w:pPr>
              <w:snapToGrid w:val="0"/>
              <w:spacing w:line="240" w:lineRule="atLeast"/>
              <w:jc w:val="center"/>
              <w:rPr>
                <w:rFonts w:ascii="標楷體" w:eastAsia="標楷體" w:hAnsi="標楷體"/>
                <w:bCs/>
              </w:rPr>
            </w:pPr>
            <w:r w:rsidRPr="005657DF">
              <w:rPr>
                <w:rFonts w:ascii="標楷體" w:eastAsia="標楷體" w:hAnsi="標楷體" w:hint="eastAsia"/>
                <w:bCs/>
              </w:rPr>
              <w:t>日期</w:t>
            </w:r>
          </w:p>
        </w:tc>
        <w:tc>
          <w:tcPr>
            <w:tcW w:w="1049" w:type="pct"/>
            <w:tcBorders>
              <w:top w:val="single" w:sz="12" w:space="0" w:color="auto"/>
              <w:left w:val="single" w:sz="6" w:space="0" w:color="auto"/>
              <w:bottom w:val="single" w:sz="6" w:space="0" w:color="auto"/>
              <w:right w:val="single" w:sz="6" w:space="0" w:color="auto"/>
            </w:tcBorders>
            <w:vAlign w:val="center"/>
          </w:tcPr>
          <w:p w:rsidR="00092283" w:rsidRPr="005657DF" w:rsidRDefault="00092283" w:rsidP="00316406">
            <w:pPr>
              <w:snapToGrid w:val="0"/>
              <w:spacing w:line="240" w:lineRule="atLeast"/>
              <w:jc w:val="center"/>
              <w:rPr>
                <w:rFonts w:ascii="標楷體" w:eastAsia="標楷體" w:hAnsi="標楷體"/>
                <w:bCs/>
              </w:rPr>
            </w:pPr>
            <w:r w:rsidRPr="005657DF">
              <w:rPr>
                <w:rFonts w:ascii="標楷體" w:eastAsia="標楷體" w:hAnsi="標楷體" w:hint="eastAsia"/>
                <w:bCs/>
              </w:rPr>
              <w:t>時間</w:t>
            </w:r>
          </w:p>
        </w:tc>
        <w:tc>
          <w:tcPr>
            <w:tcW w:w="1286" w:type="pct"/>
            <w:tcBorders>
              <w:top w:val="single" w:sz="12" w:space="0" w:color="auto"/>
              <w:left w:val="single" w:sz="6" w:space="0" w:color="auto"/>
              <w:bottom w:val="single" w:sz="6" w:space="0" w:color="auto"/>
              <w:right w:val="single" w:sz="6" w:space="0" w:color="auto"/>
            </w:tcBorders>
            <w:vAlign w:val="center"/>
          </w:tcPr>
          <w:p w:rsidR="00092283" w:rsidRPr="005657DF" w:rsidRDefault="00092283" w:rsidP="00316406">
            <w:pPr>
              <w:snapToGrid w:val="0"/>
              <w:spacing w:line="240" w:lineRule="atLeast"/>
              <w:jc w:val="center"/>
              <w:rPr>
                <w:rFonts w:ascii="標楷體" w:eastAsia="標楷體" w:hAnsi="標楷體"/>
                <w:bCs/>
              </w:rPr>
            </w:pPr>
            <w:r w:rsidRPr="005657DF">
              <w:rPr>
                <w:rFonts w:ascii="標楷體" w:eastAsia="標楷體" w:hAnsi="標楷體" w:hint="eastAsia"/>
                <w:bCs/>
              </w:rPr>
              <w:t>活動內容</w:t>
            </w:r>
          </w:p>
        </w:tc>
        <w:tc>
          <w:tcPr>
            <w:tcW w:w="1017" w:type="pct"/>
            <w:tcBorders>
              <w:top w:val="single" w:sz="12" w:space="0" w:color="auto"/>
              <w:left w:val="single" w:sz="6" w:space="0" w:color="auto"/>
              <w:bottom w:val="single" w:sz="6" w:space="0" w:color="auto"/>
              <w:right w:val="single" w:sz="6" w:space="0" w:color="auto"/>
            </w:tcBorders>
            <w:vAlign w:val="center"/>
          </w:tcPr>
          <w:p w:rsidR="00092283" w:rsidRPr="005657DF" w:rsidRDefault="00092283" w:rsidP="00316406">
            <w:pPr>
              <w:snapToGrid w:val="0"/>
              <w:spacing w:line="240" w:lineRule="atLeast"/>
              <w:jc w:val="center"/>
              <w:rPr>
                <w:rFonts w:ascii="標楷體" w:eastAsia="標楷體" w:hAnsi="標楷體"/>
                <w:bCs/>
              </w:rPr>
            </w:pPr>
            <w:r w:rsidRPr="005657DF">
              <w:rPr>
                <w:rFonts w:ascii="標楷體" w:eastAsia="標楷體" w:hAnsi="標楷體" w:hint="eastAsia"/>
                <w:bCs/>
              </w:rPr>
              <w:t>地點</w:t>
            </w:r>
          </w:p>
        </w:tc>
        <w:tc>
          <w:tcPr>
            <w:tcW w:w="576" w:type="pct"/>
            <w:tcBorders>
              <w:top w:val="single" w:sz="12" w:space="0" w:color="auto"/>
              <w:left w:val="single" w:sz="6" w:space="0" w:color="auto"/>
              <w:bottom w:val="single" w:sz="6" w:space="0" w:color="auto"/>
              <w:right w:val="single" w:sz="12" w:space="0" w:color="auto"/>
            </w:tcBorders>
          </w:tcPr>
          <w:p w:rsidR="00092283" w:rsidRPr="005657DF" w:rsidRDefault="00092283" w:rsidP="00316406">
            <w:pPr>
              <w:snapToGrid w:val="0"/>
              <w:spacing w:line="240" w:lineRule="atLeast"/>
              <w:jc w:val="center"/>
              <w:rPr>
                <w:rFonts w:ascii="標楷體" w:eastAsia="標楷體" w:hAnsi="標楷體"/>
                <w:bCs/>
              </w:rPr>
            </w:pPr>
            <w:r w:rsidRPr="005657DF">
              <w:rPr>
                <w:rFonts w:ascii="標楷體" w:eastAsia="標楷體" w:hAnsi="標楷體" w:hint="eastAsia"/>
                <w:bCs/>
              </w:rPr>
              <w:t>備註</w:t>
            </w:r>
          </w:p>
        </w:tc>
      </w:tr>
      <w:tr w:rsidR="00B74EBD" w:rsidRPr="005657DF" w:rsidTr="00963C95">
        <w:trPr>
          <w:jc w:val="center"/>
        </w:trPr>
        <w:tc>
          <w:tcPr>
            <w:tcW w:w="177" w:type="pct"/>
            <w:vMerge w:val="restart"/>
            <w:tcBorders>
              <w:top w:val="single" w:sz="6" w:space="0" w:color="auto"/>
              <w:left w:val="single" w:sz="12" w:space="0" w:color="auto"/>
              <w:right w:val="single" w:sz="6" w:space="0" w:color="auto"/>
            </w:tcBorders>
            <w:vAlign w:val="center"/>
          </w:tcPr>
          <w:p w:rsidR="00B74EBD" w:rsidRPr="005657DF" w:rsidRDefault="00B74EBD" w:rsidP="00316406">
            <w:pPr>
              <w:snapToGrid w:val="0"/>
              <w:spacing w:line="240" w:lineRule="atLeast"/>
              <w:jc w:val="center"/>
              <w:rPr>
                <w:rFonts w:ascii="標楷體" w:eastAsia="標楷體" w:hAnsi="標楷體"/>
              </w:rPr>
            </w:pPr>
            <w:r w:rsidRPr="005657DF">
              <w:rPr>
                <w:rFonts w:ascii="標楷體" w:eastAsia="標楷體" w:hAnsi="標楷體"/>
              </w:rPr>
              <w:t>1</w:t>
            </w:r>
          </w:p>
        </w:tc>
        <w:tc>
          <w:tcPr>
            <w:tcW w:w="895" w:type="pct"/>
            <w:vMerge w:val="restart"/>
            <w:tcBorders>
              <w:top w:val="single" w:sz="6" w:space="0" w:color="auto"/>
              <w:left w:val="single" w:sz="6" w:space="0" w:color="auto"/>
              <w:right w:val="single" w:sz="6" w:space="0" w:color="auto"/>
            </w:tcBorders>
            <w:vAlign w:val="center"/>
          </w:tcPr>
          <w:p w:rsidR="00B74EBD" w:rsidRPr="007C1A73" w:rsidRDefault="00B74EBD" w:rsidP="00316406">
            <w:pPr>
              <w:snapToGrid w:val="0"/>
              <w:spacing w:line="240" w:lineRule="atLeast"/>
              <w:jc w:val="center"/>
              <w:rPr>
                <w:rFonts w:ascii="標楷體" w:eastAsia="標楷體" w:hAnsi="標楷體"/>
                <w:sz w:val="32"/>
                <w:szCs w:val="32"/>
              </w:rPr>
            </w:pPr>
            <w:r w:rsidRPr="007C1A73">
              <w:rPr>
                <w:rFonts w:ascii="標楷體" w:eastAsia="標楷體" w:hAnsi="標楷體"/>
                <w:sz w:val="32"/>
                <w:szCs w:val="32"/>
              </w:rPr>
              <w:t>103.0</w:t>
            </w:r>
            <w:r w:rsidR="007C1A73" w:rsidRPr="007C1A73">
              <w:rPr>
                <w:rFonts w:ascii="標楷體" w:eastAsia="標楷體" w:hAnsi="標楷體" w:hint="eastAsia"/>
                <w:sz w:val="32"/>
                <w:szCs w:val="32"/>
              </w:rPr>
              <w:t>4.01</w:t>
            </w:r>
          </w:p>
          <w:p w:rsidR="00B74EBD" w:rsidRPr="007C1A73" w:rsidRDefault="00B74EBD" w:rsidP="00316406">
            <w:pPr>
              <w:snapToGrid w:val="0"/>
              <w:spacing w:line="240" w:lineRule="atLeast"/>
              <w:jc w:val="center"/>
              <w:rPr>
                <w:rFonts w:ascii="標楷體" w:eastAsia="標楷體" w:hAnsi="標楷體"/>
                <w:sz w:val="32"/>
                <w:szCs w:val="32"/>
              </w:rPr>
            </w:pPr>
            <w:r w:rsidRPr="007C1A73">
              <w:rPr>
                <w:rFonts w:ascii="標楷體" w:eastAsia="標楷體" w:hAnsi="標楷體" w:hint="eastAsia"/>
                <w:sz w:val="32"/>
                <w:szCs w:val="32"/>
              </w:rPr>
              <w:t>（二）</w:t>
            </w:r>
          </w:p>
        </w:tc>
        <w:tc>
          <w:tcPr>
            <w:tcW w:w="1049" w:type="pct"/>
            <w:tcBorders>
              <w:top w:val="single" w:sz="6" w:space="0" w:color="auto"/>
              <w:left w:val="single" w:sz="6" w:space="0" w:color="auto"/>
              <w:bottom w:val="single" w:sz="6" w:space="0" w:color="auto"/>
              <w:right w:val="single" w:sz="6" w:space="0" w:color="auto"/>
            </w:tcBorders>
          </w:tcPr>
          <w:p w:rsidR="00B74EBD" w:rsidRPr="007C1A73" w:rsidRDefault="00B74EBD" w:rsidP="007C1A73">
            <w:pPr>
              <w:rPr>
                <w:rFonts w:ascii="標楷體" w:eastAsia="標楷體" w:hAnsi="標楷體"/>
                <w:sz w:val="32"/>
                <w:szCs w:val="32"/>
              </w:rPr>
            </w:pPr>
            <w:r w:rsidRPr="007C1A73">
              <w:rPr>
                <w:rFonts w:ascii="標楷體" w:eastAsia="標楷體" w:hAnsi="標楷體" w:hint="eastAsia"/>
                <w:sz w:val="32"/>
                <w:szCs w:val="32"/>
              </w:rPr>
              <w:t>0</w:t>
            </w:r>
            <w:r w:rsidR="007C1A73" w:rsidRPr="007C1A73">
              <w:rPr>
                <w:rFonts w:ascii="標楷體" w:eastAsia="標楷體" w:hAnsi="標楷體" w:hint="eastAsia"/>
                <w:sz w:val="32"/>
                <w:szCs w:val="32"/>
              </w:rPr>
              <w:t>8</w:t>
            </w:r>
            <w:r w:rsidRPr="007C1A73">
              <w:rPr>
                <w:rFonts w:ascii="標楷體" w:eastAsia="標楷體" w:hAnsi="標楷體" w:hint="eastAsia"/>
                <w:sz w:val="32"/>
                <w:szCs w:val="32"/>
              </w:rPr>
              <w:t>00-1100</w:t>
            </w:r>
          </w:p>
        </w:tc>
        <w:tc>
          <w:tcPr>
            <w:tcW w:w="1286" w:type="pct"/>
            <w:tcBorders>
              <w:top w:val="single" w:sz="6" w:space="0" w:color="auto"/>
              <w:left w:val="single" w:sz="6" w:space="0" w:color="auto"/>
              <w:bottom w:val="single" w:sz="6" w:space="0" w:color="auto"/>
              <w:right w:val="single" w:sz="6" w:space="0" w:color="auto"/>
            </w:tcBorders>
          </w:tcPr>
          <w:p w:rsidR="00B74EBD" w:rsidRPr="007C1A73" w:rsidRDefault="007C1A73" w:rsidP="00316406">
            <w:pPr>
              <w:rPr>
                <w:rFonts w:ascii="標楷體" w:eastAsia="標楷體" w:hAnsi="標楷體"/>
                <w:sz w:val="32"/>
                <w:szCs w:val="32"/>
              </w:rPr>
            </w:pPr>
            <w:r w:rsidRPr="007C1A73">
              <w:rPr>
                <w:rFonts w:ascii="標楷體" w:eastAsia="標楷體" w:hAnsi="標楷體" w:hint="eastAsia"/>
                <w:sz w:val="32"/>
                <w:szCs w:val="32"/>
              </w:rPr>
              <w:t>安平舊聚落之興衰</w:t>
            </w:r>
            <w:bookmarkStart w:id="0" w:name="_GoBack"/>
            <w:bookmarkEnd w:id="0"/>
          </w:p>
        </w:tc>
        <w:tc>
          <w:tcPr>
            <w:tcW w:w="1017" w:type="pct"/>
            <w:tcBorders>
              <w:top w:val="single" w:sz="6" w:space="0" w:color="auto"/>
              <w:left w:val="single" w:sz="6" w:space="0" w:color="auto"/>
              <w:bottom w:val="single" w:sz="6" w:space="0" w:color="auto"/>
              <w:right w:val="single" w:sz="6" w:space="0" w:color="auto"/>
            </w:tcBorders>
          </w:tcPr>
          <w:p w:rsidR="00B74EBD" w:rsidRPr="007C1A73" w:rsidRDefault="007C1A73" w:rsidP="00963C95">
            <w:pPr>
              <w:rPr>
                <w:rFonts w:ascii="標楷體" w:eastAsia="標楷體" w:hAnsi="標楷體"/>
                <w:sz w:val="32"/>
                <w:szCs w:val="32"/>
              </w:rPr>
            </w:pPr>
            <w:r w:rsidRPr="007C1A73">
              <w:rPr>
                <w:rFonts w:ascii="標楷體" w:eastAsia="標楷體" w:hAnsi="標楷體" w:hint="eastAsia"/>
                <w:sz w:val="32"/>
                <w:szCs w:val="32"/>
              </w:rPr>
              <w:t>平安</w:t>
            </w:r>
          </w:p>
        </w:tc>
        <w:tc>
          <w:tcPr>
            <w:tcW w:w="576" w:type="pct"/>
            <w:tcBorders>
              <w:top w:val="single" w:sz="6" w:space="0" w:color="auto"/>
              <w:left w:val="single" w:sz="6" w:space="0" w:color="auto"/>
              <w:bottom w:val="single" w:sz="6" w:space="0" w:color="auto"/>
              <w:right w:val="single" w:sz="12" w:space="0" w:color="auto"/>
            </w:tcBorders>
          </w:tcPr>
          <w:p w:rsidR="00B74EBD" w:rsidRPr="007C1A73" w:rsidRDefault="00B74EBD" w:rsidP="00316406">
            <w:pPr>
              <w:snapToGrid w:val="0"/>
              <w:spacing w:line="240" w:lineRule="atLeast"/>
              <w:jc w:val="center"/>
              <w:rPr>
                <w:rFonts w:ascii="標楷體" w:eastAsia="標楷體" w:hAnsi="標楷體"/>
                <w:sz w:val="32"/>
                <w:szCs w:val="32"/>
              </w:rPr>
            </w:pPr>
            <w:r w:rsidRPr="007C1A73">
              <w:rPr>
                <w:rFonts w:ascii="標楷體" w:eastAsia="標楷體" w:hAnsi="標楷體" w:hint="eastAsia"/>
                <w:sz w:val="32"/>
                <w:szCs w:val="32"/>
              </w:rPr>
              <w:t>外聘講師</w:t>
            </w:r>
          </w:p>
        </w:tc>
      </w:tr>
      <w:tr w:rsidR="00B74EBD" w:rsidRPr="005657DF" w:rsidTr="00963C95">
        <w:trPr>
          <w:jc w:val="center"/>
        </w:trPr>
        <w:tc>
          <w:tcPr>
            <w:tcW w:w="177" w:type="pct"/>
            <w:vMerge/>
            <w:tcBorders>
              <w:left w:val="single" w:sz="12" w:space="0" w:color="auto"/>
              <w:right w:val="single" w:sz="6" w:space="0" w:color="auto"/>
            </w:tcBorders>
            <w:vAlign w:val="center"/>
          </w:tcPr>
          <w:p w:rsidR="00B74EBD" w:rsidRPr="005657DF" w:rsidRDefault="00B74EBD" w:rsidP="00316406">
            <w:pPr>
              <w:snapToGrid w:val="0"/>
              <w:spacing w:line="240" w:lineRule="atLeast"/>
              <w:jc w:val="center"/>
              <w:rPr>
                <w:rFonts w:ascii="標楷體" w:eastAsia="標楷體" w:hAnsi="標楷體"/>
              </w:rPr>
            </w:pPr>
          </w:p>
        </w:tc>
        <w:tc>
          <w:tcPr>
            <w:tcW w:w="895" w:type="pct"/>
            <w:vMerge/>
            <w:tcBorders>
              <w:left w:val="single" w:sz="6" w:space="0" w:color="auto"/>
              <w:right w:val="single" w:sz="6" w:space="0" w:color="auto"/>
            </w:tcBorders>
            <w:vAlign w:val="center"/>
          </w:tcPr>
          <w:p w:rsidR="00B74EBD" w:rsidRPr="007C1A73" w:rsidRDefault="00B74EBD" w:rsidP="00316406">
            <w:pPr>
              <w:snapToGrid w:val="0"/>
              <w:spacing w:line="240" w:lineRule="atLeast"/>
              <w:jc w:val="center"/>
              <w:rPr>
                <w:rFonts w:ascii="標楷體" w:eastAsia="標楷體" w:hAnsi="標楷體"/>
                <w:sz w:val="32"/>
                <w:szCs w:val="32"/>
              </w:rPr>
            </w:pPr>
          </w:p>
        </w:tc>
        <w:tc>
          <w:tcPr>
            <w:tcW w:w="1049" w:type="pct"/>
            <w:tcBorders>
              <w:top w:val="single" w:sz="6" w:space="0" w:color="auto"/>
              <w:left w:val="single" w:sz="6" w:space="0" w:color="auto"/>
              <w:bottom w:val="single" w:sz="6" w:space="0" w:color="auto"/>
              <w:right w:val="single" w:sz="6" w:space="0" w:color="auto"/>
            </w:tcBorders>
          </w:tcPr>
          <w:p w:rsidR="00B74EBD" w:rsidRPr="007C1A73" w:rsidRDefault="00B74EBD" w:rsidP="00B13D26">
            <w:pPr>
              <w:rPr>
                <w:rFonts w:ascii="標楷體" w:eastAsia="標楷體" w:hAnsi="標楷體"/>
                <w:sz w:val="32"/>
                <w:szCs w:val="32"/>
              </w:rPr>
            </w:pPr>
            <w:r w:rsidRPr="007C1A73">
              <w:rPr>
                <w:rFonts w:ascii="標楷體" w:eastAsia="標楷體" w:hAnsi="標楷體" w:hint="eastAsia"/>
                <w:sz w:val="32"/>
                <w:szCs w:val="32"/>
              </w:rPr>
              <w:t>1110-1200</w:t>
            </w:r>
          </w:p>
        </w:tc>
        <w:tc>
          <w:tcPr>
            <w:tcW w:w="1286" w:type="pct"/>
            <w:tcBorders>
              <w:top w:val="single" w:sz="6" w:space="0" w:color="auto"/>
              <w:left w:val="single" w:sz="6" w:space="0" w:color="auto"/>
              <w:bottom w:val="single" w:sz="6" w:space="0" w:color="auto"/>
              <w:right w:val="single" w:sz="6" w:space="0" w:color="auto"/>
            </w:tcBorders>
          </w:tcPr>
          <w:p w:rsidR="00B74EBD" w:rsidRPr="007C1A73" w:rsidRDefault="007C1A73" w:rsidP="00B13D26">
            <w:pPr>
              <w:rPr>
                <w:rFonts w:ascii="標楷體" w:eastAsia="標楷體" w:hAnsi="標楷體"/>
                <w:sz w:val="32"/>
                <w:szCs w:val="32"/>
              </w:rPr>
            </w:pPr>
            <w:r w:rsidRPr="007C1A73">
              <w:rPr>
                <w:rFonts w:ascii="標楷體" w:eastAsia="標楷體" w:hAnsi="標楷體" w:hint="eastAsia"/>
                <w:b/>
                <w:sz w:val="32"/>
                <w:szCs w:val="32"/>
              </w:rPr>
              <w:t>走訪舊聚落</w:t>
            </w:r>
          </w:p>
        </w:tc>
        <w:tc>
          <w:tcPr>
            <w:tcW w:w="1017" w:type="pct"/>
            <w:tcBorders>
              <w:top w:val="single" w:sz="6" w:space="0" w:color="auto"/>
              <w:left w:val="single" w:sz="6" w:space="0" w:color="auto"/>
              <w:bottom w:val="single" w:sz="6" w:space="0" w:color="auto"/>
              <w:right w:val="single" w:sz="6" w:space="0" w:color="auto"/>
            </w:tcBorders>
          </w:tcPr>
          <w:p w:rsidR="00B74EBD" w:rsidRPr="007C1A73" w:rsidRDefault="007C1A73" w:rsidP="00963C95">
            <w:pPr>
              <w:rPr>
                <w:rFonts w:ascii="標楷體" w:eastAsia="標楷體" w:hAnsi="標楷體"/>
                <w:sz w:val="32"/>
                <w:szCs w:val="32"/>
              </w:rPr>
            </w:pPr>
            <w:r w:rsidRPr="007C1A73">
              <w:rPr>
                <w:rFonts w:ascii="標楷體" w:eastAsia="標楷體" w:hAnsi="標楷體" w:hint="eastAsia"/>
                <w:sz w:val="32"/>
                <w:szCs w:val="32"/>
              </w:rPr>
              <w:t>安平</w:t>
            </w:r>
          </w:p>
        </w:tc>
        <w:tc>
          <w:tcPr>
            <w:tcW w:w="576" w:type="pct"/>
            <w:tcBorders>
              <w:top w:val="single" w:sz="6" w:space="0" w:color="auto"/>
              <w:left w:val="single" w:sz="6" w:space="0" w:color="auto"/>
              <w:bottom w:val="single" w:sz="6" w:space="0" w:color="auto"/>
              <w:right w:val="single" w:sz="12" w:space="0" w:color="auto"/>
            </w:tcBorders>
          </w:tcPr>
          <w:p w:rsidR="00B74EBD" w:rsidRPr="007C1A73" w:rsidRDefault="00B74EBD" w:rsidP="00316406">
            <w:pPr>
              <w:snapToGrid w:val="0"/>
              <w:spacing w:line="240" w:lineRule="atLeast"/>
              <w:jc w:val="center"/>
              <w:rPr>
                <w:rFonts w:ascii="標楷體" w:eastAsia="標楷體" w:hAnsi="標楷體"/>
                <w:sz w:val="32"/>
                <w:szCs w:val="32"/>
              </w:rPr>
            </w:pPr>
            <w:r w:rsidRPr="007C1A73">
              <w:rPr>
                <w:rFonts w:ascii="標楷體" w:eastAsia="標楷體" w:hAnsi="標楷體" w:hint="eastAsia"/>
                <w:sz w:val="32"/>
                <w:szCs w:val="32"/>
              </w:rPr>
              <w:t>外聘講師</w:t>
            </w:r>
          </w:p>
        </w:tc>
      </w:tr>
    </w:tbl>
    <w:p w:rsidR="00092283" w:rsidRPr="00053847" w:rsidRDefault="00092283" w:rsidP="00092283">
      <w:pPr>
        <w:snapToGrid w:val="0"/>
        <w:spacing w:line="360" w:lineRule="auto"/>
        <w:rPr>
          <w:rFonts w:ascii="標楷體" w:eastAsia="標楷體" w:hAnsi="標楷體"/>
        </w:rPr>
      </w:pPr>
      <w:r w:rsidRPr="00053847">
        <w:rPr>
          <w:rFonts w:ascii="標楷體" w:eastAsia="標楷體" w:hAnsi="標楷體" w:hint="eastAsia"/>
        </w:rPr>
        <w:t>十二、預期效益</w:t>
      </w:r>
      <w:r w:rsidRPr="00053847">
        <w:rPr>
          <w:rFonts w:ascii="標楷體" w:eastAsia="標楷體" w:hAnsi="標楷體"/>
        </w:rPr>
        <w:t>:</w:t>
      </w:r>
    </w:p>
    <w:p w:rsidR="00092283" w:rsidRPr="00053847" w:rsidRDefault="00092283" w:rsidP="00092283">
      <w:pPr>
        <w:snapToGrid w:val="0"/>
        <w:spacing w:line="360" w:lineRule="auto"/>
        <w:rPr>
          <w:rFonts w:ascii="標楷體" w:eastAsia="標楷體" w:hAnsi="標楷體"/>
        </w:rPr>
      </w:pPr>
      <w:r w:rsidRPr="00053847">
        <w:rPr>
          <w:rFonts w:ascii="標楷體" w:eastAsia="標楷體" w:hAnsi="標楷體" w:hint="eastAsia"/>
        </w:rPr>
        <w:t>（一）延續</w:t>
      </w:r>
      <w:r w:rsidRPr="00053847">
        <w:rPr>
          <w:rFonts w:ascii="標楷體" w:eastAsia="標楷體" w:hAnsi="標楷體"/>
        </w:rPr>
        <w:t>102</w:t>
      </w:r>
      <w:r w:rsidRPr="00053847">
        <w:rPr>
          <w:rFonts w:ascii="標楷體" w:eastAsia="標楷體" w:hAnsi="標楷體" w:hint="eastAsia"/>
        </w:rPr>
        <w:t>年的工作坊，將之工作成果延續</w:t>
      </w:r>
      <w:r>
        <w:rPr>
          <w:rFonts w:ascii="標楷體" w:eastAsia="標楷體" w:hAnsi="標楷體" w:hint="eastAsia"/>
        </w:rPr>
        <w:t>，並擴大其成效</w:t>
      </w:r>
      <w:r w:rsidRPr="00053847">
        <w:rPr>
          <w:rFonts w:ascii="標楷體" w:eastAsia="標楷體" w:hAnsi="標楷體" w:hint="eastAsia"/>
        </w:rPr>
        <w:t>。</w:t>
      </w:r>
    </w:p>
    <w:p w:rsidR="00092283" w:rsidRPr="00053847" w:rsidRDefault="00092283" w:rsidP="00092283">
      <w:pPr>
        <w:snapToGrid w:val="0"/>
        <w:spacing w:line="360" w:lineRule="auto"/>
        <w:rPr>
          <w:rFonts w:ascii="標楷體" w:eastAsia="標楷體" w:hAnsi="標楷體"/>
        </w:rPr>
      </w:pPr>
      <w:r>
        <w:rPr>
          <w:rFonts w:ascii="標楷體" w:eastAsia="標楷體" w:hAnsi="標楷體" w:hint="eastAsia"/>
        </w:rPr>
        <w:t>（二）</w:t>
      </w:r>
      <w:r w:rsidRPr="00053847">
        <w:rPr>
          <w:rFonts w:ascii="標楷體" w:eastAsia="標楷體" w:hAnsi="標楷體" w:hint="eastAsia"/>
        </w:rPr>
        <w:t>透過</w:t>
      </w:r>
      <w:r>
        <w:rPr>
          <w:rFonts w:ascii="標楷體" w:eastAsia="標楷體" w:hAnsi="標楷體" w:hint="eastAsia"/>
        </w:rPr>
        <w:t>工作坊形式</w:t>
      </w:r>
      <w:r w:rsidRPr="00053847">
        <w:rPr>
          <w:rFonts w:ascii="標楷體" w:eastAsia="標楷體" w:hAnsi="標楷體" w:hint="eastAsia"/>
        </w:rPr>
        <w:t>提昇社會領域</w:t>
      </w:r>
      <w:r>
        <w:rPr>
          <w:rFonts w:ascii="標楷體" w:eastAsia="標楷體" w:hAnsi="標楷體" w:hint="eastAsia"/>
        </w:rPr>
        <w:t>教師</w:t>
      </w:r>
      <w:r w:rsidRPr="00053847">
        <w:rPr>
          <w:rFonts w:ascii="標楷體" w:eastAsia="標楷體" w:hAnsi="標楷體" w:hint="eastAsia"/>
        </w:rPr>
        <w:t>教學之品質。</w:t>
      </w:r>
    </w:p>
    <w:p w:rsidR="00092283" w:rsidRPr="00053847" w:rsidRDefault="00092283" w:rsidP="00092283">
      <w:pPr>
        <w:snapToGrid w:val="0"/>
        <w:spacing w:line="360" w:lineRule="auto"/>
        <w:rPr>
          <w:rFonts w:ascii="標楷體" w:eastAsia="標楷體" w:hAnsi="標楷體"/>
        </w:rPr>
      </w:pPr>
      <w:r w:rsidRPr="00053847">
        <w:rPr>
          <w:rFonts w:ascii="標楷體" w:eastAsia="標楷體" w:hAnsi="標楷體" w:hint="eastAsia"/>
        </w:rPr>
        <w:t>（三）藉由</w:t>
      </w:r>
      <w:r>
        <w:rPr>
          <w:rFonts w:ascii="標楷體" w:eastAsia="標楷體" w:hAnsi="標楷體" w:hint="eastAsia"/>
        </w:rPr>
        <w:t>台灣人文景點</w:t>
      </w:r>
      <w:r w:rsidRPr="00053847">
        <w:rPr>
          <w:rFonts w:ascii="標楷體" w:eastAsia="標楷體" w:hAnsi="標楷體" w:hint="eastAsia"/>
        </w:rPr>
        <w:t>的理解，進而提升教師對於社會脈動的掌握</w:t>
      </w:r>
    </w:p>
    <w:p w:rsidR="00092283" w:rsidRPr="00053847" w:rsidRDefault="00092283" w:rsidP="00092283">
      <w:pPr>
        <w:snapToGrid w:val="0"/>
        <w:spacing w:line="360" w:lineRule="auto"/>
        <w:rPr>
          <w:rFonts w:ascii="標楷體" w:eastAsia="標楷體" w:hAnsi="標楷體"/>
        </w:rPr>
      </w:pPr>
      <w:r w:rsidRPr="00053847">
        <w:rPr>
          <w:rFonts w:ascii="標楷體" w:eastAsia="標楷體" w:hAnsi="標楷體" w:hint="eastAsia"/>
        </w:rPr>
        <w:t>（四）藉由「專業對話」機制提昇輔導團員專業知能，促進輔導及教學品質。</w:t>
      </w:r>
    </w:p>
    <w:p w:rsidR="00092283" w:rsidRPr="00053847" w:rsidRDefault="00092283" w:rsidP="00092283">
      <w:pPr>
        <w:snapToGrid w:val="0"/>
        <w:spacing w:line="360" w:lineRule="auto"/>
        <w:rPr>
          <w:rFonts w:ascii="標楷體" w:eastAsia="標楷體" w:hAnsi="標楷體"/>
        </w:rPr>
      </w:pPr>
      <w:r w:rsidRPr="00053847">
        <w:rPr>
          <w:rFonts w:ascii="標楷體" w:eastAsia="標楷體" w:hAnsi="標楷體" w:hint="eastAsia"/>
        </w:rPr>
        <w:t>（五）因應九年一貫任務導向新制輔導團之成立，加強輔導團員對領域內涵的認知與技能，促進縣內團務之發展。</w:t>
      </w:r>
    </w:p>
    <w:p w:rsidR="00092283" w:rsidRPr="00053847" w:rsidRDefault="00092283" w:rsidP="00092283">
      <w:pPr>
        <w:snapToGrid w:val="0"/>
        <w:spacing w:line="360" w:lineRule="auto"/>
        <w:rPr>
          <w:rFonts w:ascii="標楷體" w:eastAsia="標楷體" w:hAnsi="標楷體"/>
        </w:rPr>
      </w:pPr>
      <w:r w:rsidRPr="00053847">
        <w:rPr>
          <w:rFonts w:ascii="標楷體" w:eastAsia="標楷體" w:hAnsi="標楷體" w:hint="eastAsia"/>
        </w:rPr>
        <w:t>十</w:t>
      </w:r>
      <w:r>
        <w:rPr>
          <w:rFonts w:ascii="標楷體" w:eastAsia="標楷體" w:hAnsi="標楷體" w:hint="eastAsia"/>
        </w:rPr>
        <w:t>三</w:t>
      </w:r>
      <w:r w:rsidRPr="00053847">
        <w:rPr>
          <w:rFonts w:ascii="標楷體" w:eastAsia="標楷體" w:hAnsi="標楷體" w:hint="eastAsia"/>
        </w:rPr>
        <w:t>、經費來源：教育部專款補助</w:t>
      </w:r>
      <w:r w:rsidR="00382C4A">
        <w:rPr>
          <w:rFonts w:ascii="標楷體" w:eastAsia="標楷體" w:hAnsi="標楷體" w:hint="eastAsia"/>
        </w:rPr>
        <w:t>。</w:t>
      </w:r>
      <w:r w:rsidRPr="00053847">
        <w:rPr>
          <w:rFonts w:ascii="標楷體" w:eastAsia="標楷體" w:hAnsi="標楷體"/>
        </w:rPr>
        <w:t xml:space="preserve"> </w:t>
      </w:r>
    </w:p>
    <w:p w:rsidR="00092283" w:rsidRPr="00053847" w:rsidRDefault="00092283" w:rsidP="00092283">
      <w:pPr>
        <w:snapToGrid w:val="0"/>
        <w:spacing w:line="360" w:lineRule="auto"/>
        <w:rPr>
          <w:rFonts w:ascii="標楷體" w:eastAsia="標楷體" w:hAnsi="標楷體"/>
        </w:rPr>
      </w:pPr>
      <w:r w:rsidRPr="00053847">
        <w:rPr>
          <w:rFonts w:ascii="標楷體" w:eastAsia="標楷體" w:hAnsi="標楷體" w:hint="eastAsia"/>
        </w:rPr>
        <w:t>十</w:t>
      </w:r>
      <w:r>
        <w:rPr>
          <w:rFonts w:ascii="標楷體" w:eastAsia="標楷體" w:hAnsi="標楷體" w:hint="eastAsia"/>
        </w:rPr>
        <w:t>四</w:t>
      </w:r>
      <w:r w:rsidRPr="00053847">
        <w:rPr>
          <w:rFonts w:ascii="標楷體" w:eastAsia="標楷體" w:hAnsi="標楷體" w:hint="eastAsia"/>
        </w:rPr>
        <w:t>、研習注意事項</w:t>
      </w:r>
    </w:p>
    <w:p w:rsidR="00092283" w:rsidRPr="00053847" w:rsidRDefault="00092283" w:rsidP="00092283">
      <w:pPr>
        <w:snapToGrid w:val="0"/>
        <w:spacing w:line="360" w:lineRule="auto"/>
        <w:rPr>
          <w:rFonts w:ascii="標楷體" w:eastAsia="標楷體" w:hAnsi="標楷體"/>
        </w:rPr>
      </w:pPr>
      <w:r w:rsidRPr="00053847">
        <w:rPr>
          <w:rFonts w:ascii="標楷體" w:eastAsia="標楷體" w:hAnsi="標楷體" w:hint="eastAsia"/>
        </w:rPr>
        <w:t>（一）參與研習人員給予公假登記。</w:t>
      </w:r>
    </w:p>
    <w:p w:rsidR="00092283" w:rsidRPr="00053847" w:rsidRDefault="00092283" w:rsidP="00092283">
      <w:pPr>
        <w:snapToGrid w:val="0"/>
        <w:spacing w:line="360" w:lineRule="auto"/>
        <w:rPr>
          <w:rFonts w:ascii="標楷體" w:eastAsia="標楷體" w:hAnsi="標楷體"/>
        </w:rPr>
      </w:pPr>
      <w:r w:rsidRPr="00053847">
        <w:rPr>
          <w:rFonts w:ascii="標楷體" w:eastAsia="標楷體" w:hAnsi="標楷體" w:hint="eastAsia"/>
        </w:rPr>
        <w:t>（二）全程參與</w:t>
      </w:r>
      <w:r>
        <w:rPr>
          <w:rFonts w:ascii="標楷體" w:eastAsia="標楷體" w:hAnsi="標楷體" w:hint="eastAsia"/>
        </w:rPr>
        <w:t>每一場次</w:t>
      </w:r>
      <w:r w:rsidRPr="00053847">
        <w:rPr>
          <w:rFonts w:ascii="標楷體" w:eastAsia="標楷體" w:hAnsi="標楷體" w:hint="eastAsia"/>
        </w:rPr>
        <w:t>之學員核發</w:t>
      </w:r>
      <w:r w:rsidRPr="00053847">
        <w:rPr>
          <w:rFonts w:ascii="標楷體" w:eastAsia="標楷體" w:hAnsi="標楷體"/>
        </w:rPr>
        <w:t>3</w:t>
      </w:r>
      <w:r w:rsidRPr="00053847">
        <w:rPr>
          <w:rFonts w:ascii="標楷體" w:eastAsia="標楷體" w:hAnsi="標楷體" w:hint="eastAsia"/>
        </w:rPr>
        <w:t>小時研習時數。</w:t>
      </w:r>
    </w:p>
    <w:p w:rsidR="00092283" w:rsidRPr="00053847" w:rsidRDefault="00092283" w:rsidP="00092283">
      <w:pPr>
        <w:snapToGrid w:val="0"/>
        <w:spacing w:line="360" w:lineRule="auto"/>
        <w:rPr>
          <w:rFonts w:ascii="標楷體" w:eastAsia="標楷體" w:hAnsi="標楷體"/>
        </w:rPr>
      </w:pPr>
      <w:r w:rsidRPr="00053847">
        <w:rPr>
          <w:rFonts w:ascii="標楷體" w:eastAsia="標楷體" w:hAnsi="標楷體" w:hint="eastAsia"/>
        </w:rPr>
        <w:t>（三）為響應環保運動，請研習學員攜帶環保杯或茶杯。</w:t>
      </w:r>
    </w:p>
    <w:p w:rsidR="00092283" w:rsidRPr="00053847" w:rsidRDefault="00092283" w:rsidP="00092283">
      <w:pPr>
        <w:snapToGrid w:val="0"/>
        <w:spacing w:line="360" w:lineRule="auto"/>
        <w:rPr>
          <w:rFonts w:ascii="標楷體" w:eastAsia="標楷體" w:hAnsi="標楷體"/>
        </w:rPr>
      </w:pPr>
      <w:r w:rsidRPr="00053847">
        <w:rPr>
          <w:rFonts w:ascii="標楷體" w:eastAsia="標楷體" w:hAnsi="標楷體" w:hint="eastAsia"/>
        </w:rPr>
        <w:t>十六、獎勵：相關承辦人員依嘉義縣教育人員獎勵規定予以敘獎。</w:t>
      </w:r>
    </w:p>
    <w:p w:rsidR="00092283" w:rsidRPr="00053847" w:rsidRDefault="00092283" w:rsidP="00092283">
      <w:pPr>
        <w:snapToGrid w:val="0"/>
        <w:spacing w:line="360" w:lineRule="auto"/>
        <w:rPr>
          <w:rFonts w:ascii="標楷體" w:eastAsia="標楷體" w:hAnsi="標楷體"/>
        </w:rPr>
      </w:pPr>
      <w:r w:rsidRPr="00053847">
        <w:rPr>
          <w:rFonts w:ascii="標楷體" w:eastAsia="標楷體" w:hAnsi="標楷體" w:hint="eastAsia"/>
        </w:rPr>
        <w:t>十七、本計畫經奉核可後施行，修正時亦同。</w:t>
      </w:r>
    </w:p>
    <w:p w:rsidR="005137C7" w:rsidRPr="00092283" w:rsidRDefault="005137C7"/>
    <w:sectPr w:rsidR="005137C7" w:rsidRPr="0009228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283"/>
    <w:rsid w:val="00092283"/>
    <w:rsid w:val="00274A77"/>
    <w:rsid w:val="00382C4A"/>
    <w:rsid w:val="00454279"/>
    <w:rsid w:val="005137C7"/>
    <w:rsid w:val="007C1A73"/>
    <w:rsid w:val="007F32CC"/>
    <w:rsid w:val="00963C95"/>
    <w:rsid w:val="00B74EBD"/>
    <w:rsid w:val="00C47D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2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
    <w:name w:val="normaltext"/>
    <w:basedOn w:val="a0"/>
    <w:rsid w:val="007C1A73"/>
  </w:style>
  <w:style w:type="character" w:styleId="a3">
    <w:name w:val="Hyperlink"/>
    <w:basedOn w:val="a0"/>
    <w:uiPriority w:val="99"/>
    <w:unhideWhenUsed/>
    <w:rsid w:val="007C1A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2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
    <w:name w:val="normaltext"/>
    <w:basedOn w:val="a0"/>
    <w:rsid w:val="007C1A73"/>
  </w:style>
  <w:style w:type="character" w:styleId="a3">
    <w:name w:val="Hyperlink"/>
    <w:basedOn w:val="a0"/>
    <w:uiPriority w:val="99"/>
    <w:unhideWhenUsed/>
    <w:rsid w:val="007C1A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ocial1@mail.cyc.edu.t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8C0E5-A836-45C8-BDF0-764CCB351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自然領域輔導團</dc:creator>
  <cp:lastModifiedBy>自然領域輔導團</cp:lastModifiedBy>
  <cp:revision>4</cp:revision>
  <dcterms:created xsi:type="dcterms:W3CDTF">2014-03-17T06:31:00Z</dcterms:created>
  <dcterms:modified xsi:type="dcterms:W3CDTF">2014-03-17T06:37:00Z</dcterms:modified>
</cp:coreProperties>
</file>